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E3" w:rsidRPr="008E77E3" w:rsidRDefault="008E77E3" w:rsidP="008E77E3">
      <w:pPr>
        <w:widowControl/>
        <w:spacing w:before="150" w:after="75" w:line="345" w:lineRule="atLeast"/>
        <w:ind w:left="345" w:right="75"/>
        <w:jc w:val="left"/>
        <w:outlineLvl w:val="2"/>
        <w:rPr>
          <w:rFonts w:ascii="Tahoma" w:hAnsi="Tahoma" w:cs="Tahoma"/>
          <w:b/>
          <w:bCs/>
          <w:color w:val="FF0000"/>
          <w:kern w:val="0"/>
          <w:sz w:val="24"/>
          <w:szCs w:val="24"/>
        </w:rPr>
      </w:pPr>
      <w:r w:rsidRPr="008E77E3">
        <w:rPr>
          <w:rFonts w:ascii="Tahoma" w:hAnsi="Tahoma" w:cs="Tahoma"/>
          <w:b/>
          <w:bCs/>
          <w:color w:val="FF0000"/>
          <w:kern w:val="0"/>
          <w:sz w:val="24"/>
          <w:szCs w:val="24"/>
        </w:rPr>
        <w:t>Information and Computational Science (Statistics and Financial Actuarial Science)</w:t>
      </w:r>
    </w:p>
    <w:p w:rsidR="008E77E3" w:rsidRDefault="008E77E3" w:rsidP="008E77E3">
      <w:pPr>
        <w:widowControl/>
        <w:spacing w:line="300" w:lineRule="atLeast"/>
        <w:ind w:left="375" w:right="375"/>
        <w:jc w:val="left"/>
        <w:rPr>
          <w:rFonts w:ascii="Tahoma" w:hAnsi="Tahoma" w:cs="Tahoma" w:hint="eastAsia"/>
          <w:color w:val="002B54"/>
          <w:kern w:val="0"/>
          <w:szCs w:val="21"/>
        </w:rPr>
      </w:pPr>
      <w:r w:rsidRPr="008E77E3">
        <w:rPr>
          <w:rFonts w:ascii="Tahoma" w:hAnsi="Tahoma" w:cs="Tahoma"/>
          <w:color w:val="002B54"/>
          <w:kern w:val="0"/>
          <w:szCs w:val="21"/>
        </w:rPr>
        <w:t>The major aims at training senior actuary with good mathematical knowledge, with modern management theoretical foundation, master the basic theory, basic knowledge and basic skills and methods of statistics and financial actuarial science, as well as basic knowledge of financial laws, master statistics, probability and finance, with the knowledge and ability of business management.</w:t>
      </w:r>
      <w:r w:rsidRPr="008E77E3">
        <w:rPr>
          <w:rFonts w:ascii="Tahoma" w:hAnsi="Tahoma" w:cs="Tahoma"/>
          <w:color w:val="002B54"/>
          <w:kern w:val="0"/>
          <w:szCs w:val="21"/>
        </w:rPr>
        <w:br/>
        <w:t>Enrollment Advantage</w:t>
      </w:r>
      <w:r w:rsidRPr="008E77E3">
        <w:rPr>
          <w:rFonts w:ascii="Tahoma" w:hAnsi="Tahoma" w:cs="Tahoma"/>
          <w:color w:val="002B54"/>
          <w:kern w:val="0"/>
          <w:szCs w:val="21"/>
        </w:rPr>
        <w:br/>
      </w:r>
      <w:proofErr w:type="gramStart"/>
      <w:r w:rsidRPr="008E77E3">
        <w:rPr>
          <w:rFonts w:ascii="Tahoma" w:hAnsi="Tahoma" w:cs="Tahoma"/>
          <w:color w:val="002B54"/>
          <w:kern w:val="0"/>
          <w:szCs w:val="21"/>
        </w:rPr>
        <w:t>The</w:t>
      </w:r>
      <w:proofErr w:type="gramEnd"/>
      <w:r w:rsidRPr="008E77E3">
        <w:rPr>
          <w:rFonts w:ascii="Tahoma" w:hAnsi="Tahoma" w:cs="Tahoma"/>
          <w:color w:val="002B54"/>
          <w:kern w:val="0"/>
          <w:szCs w:val="21"/>
        </w:rPr>
        <w:t xml:space="preserve"> school of Science has ZUST Research Institute of Applied Mathematics, Financial Mathematics Laboratory, Key Laboratory of the Basic Mathematics of University, Information and Computing Science laboratory which are funded Provincial Department of Finance. The school of Science has two provincial key disciplines basic mathematics and applied mathematics.</w:t>
      </w:r>
      <w:r w:rsidRPr="008E77E3">
        <w:rPr>
          <w:rFonts w:ascii="Tahoma" w:hAnsi="Tahoma" w:cs="Tahoma"/>
          <w:color w:val="002B54"/>
          <w:kern w:val="0"/>
          <w:szCs w:val="21"/>
        </w:rPr>
        <w:br/>
        <w:t>The school of Science cooperates with Wilhelmshaven/Oldenburg/</w:t>
      </w:r>
      <w:proofErr w:type="spellStart"/>
      <w:r w:rsidRPr="008E77E3">
        <w:rPr>
          <w:rFonts w:ascii="Tahoma" w:hAnsi="Tahoma" w:cs="Tahoma"/>
          <w:color w:val="002B54"/>
          <w:kern w:val="0"/>
          <w:szCs w:val="21"/>
        </w:rPr>
        <w:t>Elsfleth</w:t>
      </w:r>
      <w:proofErr w:type="spellEnd"/>
      <w:r w:rsidRPr="008E77E3">
        <w:rPr>
          <w:rFonts w:ascii="Tahoma" w:hAnsi="Tahoma" w:cs="Tahoma"/>
          <w:color w:val="002B54"/>
          <w:kern w:val="0"/>
          <w:szCs w:val="21"/>
        </w:rPr>
        <w:t xml:space="preserve"> University of Applied Sciences of German, carrying out 2+3 program, students and faculty exchange program and so on.</w:t>
      </w:r>
    </w:p>
    <w:p w:rsidR="008E77E3" w:rsidRDefault="008E77E3" w:rsidP="008E77E3">
      <w:pPr>
        <w:widowControl/>
        <w:spacing w:line="300" w:lineRule="atLeast"/>
        <w:ind w:left="375" w:right="375"/>
        <w:jc w:val="left"/>
        <w:rPr>
          <w:rFonts w:ascii="Tahoma" w:hAnsi="Tahoma" w:cs="Tahoma" w:hint="eastAsia"/>
          <w:color w:val="002B54"/>
          <w:kern w:val="0"/>
          <w:szCs w:val="21"/>
        </w:rPr>
      </w:pPr>
      <w:bookmarkStart w:id="0" w:name="_GoBack"/>
      <w:bookmarkEnd w:id="0"/>
      <w:r w:rsidRPr="008E77E3">
        <w:rPr>
          <w:rFonts w:ascii="Tahoma" w:hAnsi="Tahoma" w:cs="Tahoma"/>
          <w:color w:val="002B54"/>
          <w:kern w:val="0"/>
          <w:szCs w:val="21"/>
        </w:rPr>
        <w:br/>
      </w:r>
      <w:r w:rsidRPr="008E77E3">
        <w:rPr>
          <w:rFonts w:ascii="Tahoma" w:hAnsi="Tahoma" w:cs="Tahoma"/>
          <w:b/>
          <w:color w:val="002B54"/>
          <w:kern w:val="0"/>
          <w:szCs w:val="21"/>
        </w:rPr>
        <w:t>Main courses</w:t>
      </w:r>
      <w:r w:rsidRPr="008E77E3">
        <w:rPr>
          <w:rFonts w:ascii="Tahoma" w:hAnsi="Tahoma" w:cs="Tahoma"/>
          <w:color w:val="002B54"/>
          <w:kern w:val="0"/>
          <w:szCs w:val="21"/>
        </w:rPr>
        <w:br/>
        <w:t>Statistics</w:t>
      </w:r>
      <w:r w:rsidRPr="008E77E3">
        <w:rPr>
          <w:rFonts w:ascii="Tahoma" w:hAnsi="Tahoma" w:cs="Tahoma"/>
          <w:color w:val="002B54"/>
          <w:kern w:val="0"/>
          <w:szCs w:val="21"/>
        </w:rPr>
        <w:br/>
        <w:t>Principles of Western Economics</w:t>
      </w:r>
      <w:r w:rsidRPr="008E77E3">
        <w:rPr>
          <w:rFonts w:ascii="Tahoma" w:hAnsi="Tahoma" w:cs="Tahoma"/>
          <w:color w:val="002B54"/>
          <w:kern w:val="0"/>
          <w:szCs w:val="21"/>
        </w:rPr>
        <w:br/>
        <w:t>Principles of Finance</w:t>
      </w:r>
      <w:r w:rsidRPr="008E77E3">
        <w:rPr>
          <w:rFonts w:ascii="Tahoma" w:hAnsi="Tahoma" w:cs="Tahoma"/>
          <w:color w:val="002B54"/>
          <w:kern w:val="0"/>
          <w:szCs w:val="21"/>
        </w:rPr>
        <w:br/>
        <w:t>Econometrics</w:t>
      </w:r>
      <w:r w:rsidRPr="008E77E3">
        <w:rPr>
          <w:rFonts w:ascii="Tahoma" w:hAnsi="Tahoma" w:cs="Tahoma"/>
          <w:color w:val="002B54"/>
          <w:kern w:val="0"/>
          <w:szCs w:val="21"/>
        </w:rPr>
        <w:br/>
        <w:t>Financial Engineering</w:t>
      </w:r>
      <w:r w:rsidRPr="008E77E3">
        <w:rPr>
          <w:rFonts w:ascii="Tahoma" w:hAnsi="Tahoma" w:cs="Tahoma"/>
          <w:color w:val="002B54"/>
          <w:kern w:val="0"/>
          <w:szCs w:val="21"/>
        </w:rPr>
        <w:br/>
        <w:t>Actuarial Science</w:t>
      </w:r>
      <w:r w:rsidRPr="008E77E3">
        <w:rPr>
          <w:rFonts w:ascii="Tahoma" w:hAnsi="Tahoma" w:cs="Tahoma"/>
          <w:color w:val="002B54"/>
          <w:kern w:val="0"/>
          <w:szCs w:val="21"/>
        </w:rPr>
        <w:br/>
        <w:t>International Financial Law</w:t>
      </w:r>
      <w:r w:rsidRPr="008E77E3">
        <w:rPr>
          <w:rFonts w:ascii="Tahoma" w:hAnsi="Tahoma" w:cs="Tahoma"/>
          <w:color w:val="002B54"/>
          <w:kern w:val="0"/>
          <w:szCs w:val="21"/>
        </w:rPr>
        <w:br/>
        <w:t>Operation Research</w:t>
      </w:r>
      <w:r w:rsidRPr="008E77E3">
        <w:rPr>
          <w:rFonts w:ascii="Tahoma" w:hAnsi="Tahoma" w:cs="Tahoma"/>
          <w:color w:val="002B54"/>
          <w:kern w:val="0"/>
          <w:szCs w:val="21"/>
        </w:rPr>
        <w:br/>
        <w:t>International Investment</w:t>
      </w:r>
      <w:r w:rsidRPr="008E77E3">
        <w:rPr>
          <w:rFonts w:ascii="Tahoma" w:hAnsi="Tahoma" w:cs="Tahoma"/>
          <w:color w:val="002B54"/>
          <w:kern w:val="0"/>
          <w:szCs w:val="21"/>
        </w:rPr>
        <w:br/>
        <w:t>Accounting for Banking</w:t>
      </w:r>
      <w:r w:rsidRPr="008E77E3">
        <w:rPr>
          <w:rFonts w:ascii="Tahoma" w:hAnsi="Tahoma" w:cs="Tahoma"/>
          <w:color w:val="002B54"/>
          <w:kern w:val="0"/>
          <w:szCs w:val="21"/>
        </w:rPr>
        <w:br/>
        <w:t>Financial Management</w:t>
      </w:r>
      <w:r w:rsidRPr="008E77E3">
        <w:rPr>
          <w:rFonts w:ascii="Tahoma" w:hAnsi="Tahoma" w:cs="Tahoma"/>
          <w:color w:val="002B54"/>
          <w:kern w:val="0"/>
          <w:szCs w:val="21"/>
        </w:rPr>
        <w:br/>
        <w:t>Transition and Development of Chinese Finance</w:t>
      </w:r>
      <w:r w:rsidRPr="008E77E3">
        <w:rPr>
          <w:rFonts w:ascii="Tahoma" w:hAnsi="Tahoma" w:cs="Tahoma"/>
          <w:color w:val="002B54"/>
          <w:kern w:val="0"/>
          <w:szCs w:val="21"/>
        </w:rPr>
        <w:br/>
        <w:t>Seminar on the Issues of Contemporary China’s Finance</w:t>
      </w:r>
    </w:p>
    <w:p w:rsidR="008E77E3" w:rsidRPr="008E77E3" w:rsidRDefault="008E77E3" w:rsidP="008E77E3">
      <w:pPr>
        <w:widowControl/>
        <w:spacing w:line="300" w:lineRule="atLeast"/>
        <w:ind w:left="375" w:right="375"/>
        <w:jc w:val="left"/>
        <w:rPr>
          <w:rFonts w:ascii="Tahoma" w:hAnsi="Tahoma" w:cs="Tahoma"/>
          <w:color w:val="002B54"/>
          <w:kern w:val="0"/>
          <w:szCs w:val="21"/>
        </w:rPr>
      </w:pPr>
      <w:r w:rsidRPr="008E77E3">
        <w:rPr>
          <w:rFonts w:ascii="Tahoma" w:hAnsi="Tahoma" w:cs="Tahoma"/>
          <w:color w:val="002B54"/>
          <w:kern w:val="0"/>
          <w:szCs w:val="21"/>
        </w:rPr>
        <w:br/>
      </w:r>
      <w:r w:rsidRPr="008E77E3">
        <w:rPr>
          <w:rFonts w:ascii="Tahoma" w:hAnsi="Tahoma" w:cs="Tahoma"/>
          <w:b/>
          <w:color w:val="002B54"/>
          <w:kern w:val="0"/>
          <w:szCs w:val="21"/>
        </w:rPr>
        <w:t>Graduation Orientation</w:t>
      </w:r>
      <w:r w:rsidRPr="008E77E3">
        <w:rPr>
          <w:rFonts w:ascii="Tahoma" w:hAnsi="Tahoma" w:cs="Tahoma"/>
          <w:color w:val="002B54"/>
          <w:kern w:val="0"/>
          <w:szCs w:val="21"/>
        </w:rPr>
        <w:br/>
      </w:r>
      <w:proofErr w:type="gramStart"/>
      <w:r w:rsidRPr="008E77E3">
        <w:rPr>
          <w:rFonts w:ascii="Tahoma" w:hAnsi="Tahoma" w:cs="Tahoma"/>
          <w:color w:val="002B54"/>
          <w:kern w:val="0"/>
          <w:szCs w:val="21"/>
        </w:rPr>
        <w:t>The</w:t>
      </w:r>
      <w:proofErr w:type="gramEnd"/>
      <w:r w:rsidRPr="008E77E3">
        <w:rPr>
          <w:rFonts w:ascii="Tahoma" w:hAnsi="Tahoma" w:cs="Tahoma"/>
          <w:color w:val="002B54"/>
          <w:kern w:val="0"/>
          <w:szCs w:val="21"/>
        </w:rPr>
        <w:t xml:space="preserve"> graduates can be engaged in actuarial analysis, design, management and evaluation employed at government, business, financial institutions and scientific research units.</w:t>
      </w:r>
    </w:p>
    <w:p w:rsidR="005C53C4" w:rsidRPr="008E77E3" w:rsidRDefault="005C53C4"/>
    <w:sectPr w:rsidR="005C53C4" w:rsidRPr="008E7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C4" w:rsidRDefault="002211C4" w:rsidP="008E77E3">
      <w:r>
        <w:separator/>
      </w:r>
    </w:p>
  </w:endnote>
  <w:endnote w:type="continuationSeparator" w:id="0">
    <w:p w:rsidR="002211C4" w:rsidRDefault="002211C4" w:rsidP="008E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C4" w:rsidRDefault="002211C4" w:rsidP="008E77E3">
      <w:r>
        <w:separator/>
      </w:r>
    </w:p>
  </w:footnote>
  <w:footnote w:type="continuationSeparator" w:id="0">
    <w:p w:rsidR="002211C4" w:rsidRDefault="002211C4" w:rsidP="008E7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4FC"/>
    <w:rsid w:val="002211C4"/>
    <w:rsid w:val="005C53C4"/>
    <w:rsid w:val="008E77E3"/>
    <w:rsid w:val="009B2931"/>
    <w:rsid w:val="00CF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8E77E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7E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E77E3"/>
    <w:rPr>
      <w:kern w:val="2"/>
      <w:sz w:val="18"/>
      <w:szCs w:val="18"/>
    </w:rPr>
  </w:style>
  <w:style w:type="paragraph" w:styleId="a4">
    <w:name w:val="footer"/>
    <w:basedOn w:val="a"/>
    <w:link w:val="Char0"/>
    <w:uiPriority w:val="99"/>
    <w:unhideWhenUsed/>
    <w:rsid w:val="008E77E3"/>
    <w:pPr>
      <w:tabs>
        <w:tab w:val="center" w:pos="4153"/>
        <w:tab w:val="right" w:pos="8306"/>
      </w:tabs>
      <w:snapToGrid w:val="0"/>
      <w:jc w:val="left"/>
    </w:pPr>
    <w:rPr>
      <w:sz w:val="18"/>
      <w:szCs w:val="18"/>
    </w:rPr>
  </w:style>
  <w:style w:type="character" w:customStyle="1" w:styleId="Char0">
    <w:name w:val="页脚 Char"/>
    <w:link w:val="a4"/>
    <w:uiPriority w:val="99"/>
    <w:rsid w:val="008E77E3"/>
    <w:rPr>
      <w:kern w:val="2"/>
      <w:sz w:val="18"/>
      <w:szCs w:val="18"/>
    </w:rPr>
  </w:style>
  <w:style w:type="character" w:customStyle="1" w:styleId="3Char">
    <w:name w:val="标题 3 Char"/>
    <w:link w:val="3"/>
    <w:uiPriority w:val="9"/>
    <w:rsid w:val="008E77E3"/>
    <w:rPr>
      <w:rFonts w:ascii="宋体" w:hAnsi="宋体" w:cs="宋体"/>
      <w:b/>
      <w:bCs/>
      <w:sz w:val="27"/>
      <w:szCs w:val="27"/>
    </w:rPr>
  </w:style>
  <w:style w:type="paragraph" w:styleId="a5">
    <w:name w:val="Normal (Web)"/>
    <w:basedOn w:val="a"/>
    <w:uiPriority w:val="99"/>
    <w:semiHidden/>
    <w:unhideWhenUsed/>
    <w:rsid w:val="008E77E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3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MS</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2015-11-07T11:49:00Z</dcterms:created>
  <dcterms:modified xsi:type="dcterms:W3CDTF">2015-11-07T11:49:00Z</dcterms:modified>
</cp:coreProperties>
</file>